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311C50" w14:textId="044C68C7" w:rsidR="00722350" w:rsidRDefault="00722350" w:rsidP="00722350">
      <w:pPr>
        <w:spacing w:line="360" w:lineRule="auto"/>
        <w:outlineLvl w:val="2"/>
        <w:rPr>
          <w:rFonts w:ascii="Arial" w:eastAsia="Times New Roman" w:hAnsi="Arial" w:cs="Arial"/>
          <w:b/>
          <w:bCs/>
          <w:kern w:val="0"/>
          <w:lang w:val="en-US" w:eastAsia="it-IT"/>
          <w14:ligatures w14:val="none"/>
        </w:rPr>
      </w:pPr>
      <w:r w:rsidRPr="00722350">
        <w:rPr>
          <w:rFonts w:ascii="Arial" w:eastAsia="Times New Roman" w:hAnsi="Arial" w:cs="Arial"/>
          <w:b/>
          <w:bCs/>
          <w:kern w:val="0"/>
          <w:lang w:val="en-US" w:eastAsia="it-IT"/>
          <w14:ligatures w14:val="none"/>
        </w:rPr>
        <w:t xml:space="preserve">Supplementary File </w:t>
      </w:r>
      <w:r w:rsidR="0072198E">
        <w:rPr>
          <w:rFonts w:ascii="Arial" w:hAnsi="Arial" w:cs="Arial" w:hint="eastAsia"/>
          <w:b/>
          <w:bCs/>
          <w:kern w:val="0"/>
          <w:lang w:val="en-US" w:eastAsia="zh-CN"/>
          <w14:ligatures w14:val="none"/>
        </w:rPr>
        <w:t>S</w:t>
      </w:r>
      <w:r w:rsidRPr="00722350">
        <w:rPr>
          <w:rFonts w:ascii="Arial" w:eastAsia="Times New Roman" w:hAnsi="Arial" w:cs="Arial"/>
          <w:b/>
          <w:bCs/>
          <w:kern w:val="0"/>
          <w:lang w:val="en-US" w:eastAsia="it-IT"/>
          <w14:ligatures w14:val="none"/>
        </w:rPr>
        <w:t xml:space="preserve">1. </w:t>
      </w:r>
    </w:p>
    <w:p w14:paraId="3AEDA1EF" w14:textId="5674997C" w:rsidR="00E736CF" w:rsidRPr="00722350" w:rsidRDefault="00722350" w:rsidP="00722350">
      <w:pPr>
        <w:spacing w:line="360" w:lineRule="auto"/>
        <w:outlineLvl w:val="2"/>
        <w:rPr>
          <w:rFonts w:ascii="Arial" w:eastAsia="Times New Roman" w:hAnsi="Arial" w:cs="Arial"/>
          <w:kern w:val="0"/>
          <w:lang w:val="en-US" w:eastAsia="it-IT"/>
          <w14:ligatures w14:val="none"/>
        </w:rPr>
      </w:pPr>
      <w:r w:rsidRPr="00722350">
        <w:rPr>
          <w:rFonts w:ascii="Arial" w:eastAsia="Times New Roman" w:hAnsi="Arial" w:cs="Arial"/>
          <w:i/>
          <w:iCs/>
          <w:kern w:val="0"/>
          <w:lang w:val="en-US" w:eastAsia="it-IT"/>
          <w14:ligatures w14:val="none"/>
        </w:rPr>
        <w:t>In silico</w:t>
      </w:r>
      <w:r w:rsidRPr="00722350">
        <w:rPr>
          <w:rFonts w:ascii="Arial" w:eastAsia="Times New Roman" w:hAnsi="Arial" w:cs="Arial"/>
          <w:kern w:val="0"/>
          <w:lang w:val="en-US" w:eastAsia="it-IT"/>
          <w14:ligatures w14:val="none"/>
        </w:rPr>
        <w:t xml:space="preserve"> COI sequence alignments supporting analytical exclusivity of the </w:t>
      </w:r>
      <w:r w:rsidRPr="00722350">
        <w:rPr>
          <w:rFonts w:ascii="Arial" w:eastAsia="Times New Roman" w:hAnsi="Arial" w:cs="Arial"/>
          <w:i/>
          <w:iCs/>
          <w:kern w:val="0"/>
          <w:lang w:val="en-US" w:eastAsia="it-IT"/>
          <w14:ligatures w14:val="none"/>
        </w:rPr>
        <w:t>Ips typographus</w:t>
      </w:r>
      <w:r w:rsidRPr="00722350">
        <w:rPr>
          <w:rFonts w:ascii="Arial" w:eastAsia="Times New Roman" w:hAnsi="Arial" w:cs="Arial"/>
          <w:kern w:val="0"/>
          <w:lang w:val="en-US" w:eastAsia="it-IT"/>
          <w14:ligatures w14:val="none"/>
        </w:rPr>
        <w:t xml:space="preserve"> qPCR assay.</w:t>
      </w:r>
    </w:p>
    <w:p w14:paraId="3C19D120" w14:textId="4F4ECE2F" w:rsidR="00722350" w:rsidRDefault="005C7D8D" w:rsidP="00E736CF">
      <w:pPr>
        <w:spacing w:line="360" w:lineRule="auto"/>
        <w:outlineLvl w:val="2"/>
        <w:rPr>
          <w:rFonts w:ascii="Arial" w:eastAsia="Times New Roman" w:hAnsi="Arial" w:cs="Arial"/>
          <w:b/>
          <w:bCs/>
          <w:kern w:val="0"/>
          <w:lang w:val="en-US" w:eastAsia="it-IT"/>
          <w14:ligatures w14:val="none"/>
        </w:rPr>
      </w:pPr>
      <w:r>
        <w:rPr>
          <w:rFonts w:ascii="Arial" w:eastAsia="Times New Roman" w:hAnsi="Arial" w:cs="Arial"/>
          <w:b/>
          <w:bCs/>
          <w:noProof/>
          <w:kern w:val="0"/>
          <w:lang w:val="en-US" w:eastAsia="it-IT"/>
        </w:rPr>
        <w:drawing>
          <wp:inline distT="0" distB="0" distL="0" distR="0" wp14:anchorId="19F9CE49" wp14:editId="3808D1AB">
            <wp:extent cx="8846128" cy="3914580"/>
            <wp:effectExtent l="0" t="0" r="0" b="0"/>
            <wp:docPr id="1545870888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870888" name="Immagine 1545870888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43538" cy="4001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61802" w14:textId="2DDCB285" w:rsidR="005C7D8D" w:rsidRDefault="00722350" w:rsidP="00E736CF">
      <w:pPr>
        <w:spacing w:line="360" w:lineRule="auto"/>
        <w:outlineLvl w:val="2"/>
        <w:rPr>
          <w:rFonts w:ascii="Arial" w:eastAsia="Times New Roman" w:hAnsi="Arial" w:cs="Arial"/>
          <w:kern w:val="0"/>
          <w:sz w:val="20"/>
          <w:szCs w:val="20"/>
          <w:lang w:val="en-US" w:eastAsia="it-IT"/>
          <w14:ligatures w14:val="none"/>
        </w:rPr>
      </w:pPr>
      <w:r w:rsidRPr="00722350">
        <w:rPr>
          <w:rFonts w:ascii="Arial" w:eastAsia="Times New Roman" w:hAnsi="Arial" w:cs="Arial"/>
          <w:b/>
          <w:bCs/>
          <w:kern w:val="0"/>
          <w:sz w:val="20"/>
          <w:szCs w:val="20"/>
          <w:lang w:val="en-US" w:eastAsia="it-IT"/>
          <w14:ligatures w14:val="none"/>
        </w:rPr>
        <w:t xml:space="preserve">Figure S1. </w:t>
      </w:r>
      <w:r w:rsidRPr="00722350">
        <w:rPr>
          <w:rFonts w:ascii="Arial" w:eastAsia="Times New Roman" w:hAnsi="Arial" w:cs="Arial"/>
          <w:kern w:val="0"/>
          <w:sz w:val="20"/>
          <w:szCs w:val="20"/>
          <w:lang w:val="en-US" w:eastAsia="it-IT"/>
          <w14:ligatures w14:val="none"/>
        </w:rPr>
        <w:t xml:space="preserve">Multiple sequence alignment of the mitochondrial cytochrome oxidase I (COI) gene showing </w:t>
      </w:r>
      <w:r w:rsidRPr="00722350">
        <w:rPr>
          <w:rFonts w:ascii="Arial" w:eastAsia="Times New Roman" w:hAnsi="Arial" w:cs="Arial"/>
          <w:i/>
          <w:iCs/>
          <w:kern w:val="0"/>
          <w:sz w:val="20"/>
          <w:szCs w:val="20"/>
          <w:lang w:val="en-US" w:eastAsia="it-IT"/>
          <w14:ligatures w14:val="none"/>
        </w:rPr>
        <w:t>Ips typographus</w:t>
      </w:r>
      <w:r w:rsidRPr="00722350">
        <w:rPr>
          <w:rFonts w:ascii="Arial" w:eastAsia="Times New Roman" w:hAnsi="Arial" w:cs="Arial"/>
          <w:kern w:val="0"/>
          <w:sz w:val="20"/>
          <w:szCs w:val="20"/>
          <w:lang w:val="en-US" w:eastAsia="it-IT"/>
          <w14:ligatures w14:val="none"/>
        </w:rPr>
        <w:t xml:space="preserve"> haplotype aligned with closely related </w:t>
      </w:r>
      <w:r w:rsidRPr="00722350">
        <w:rPr>
          <w:rFonts w:ascii="Arial" w:eastAsia="Times New Roman" w:hAnsi="Arial" w:cs="Arial"/>
          <w:i/>
          <w:iCs/>
          <w:kern w:val="0"/>
          <w:sz w:val="20"/>
          <w:szCs w:val="20"/>
          <w:lang w:val="en-US" w:eastAsia="it-IT"/>
          <w14:ligatures w14:val="none"/>
        </w:rPr>
        <w:t>Ips</w:t>
      </w:r>
      <w:r w:rsidRPr="00722350">
        <w:rPr>
          <w:rFonts w:ascii="Arial" w:eastAsia="Times New Roman" w:hAnsi="Arial" w:cs="Arial"/>
          <w:kern w:val="0"/>
          <w:sz w:val="20"/>
          <w:szCs w:val="20"/>
          <w:lang w:val="en-US" w:eastAsia="it-IT"/>
          <w14:ligatures w14:val="none"/>
        </w:rPr>
        <w:t xml:space="preserve"> species. The positions of the forward primer (fw), TaqMan probe, and reverse primer (rev) developed in this study are indicated. Conserved regions in </w:t>
      </w:r>
      <w:r w:rsidRPr="00722350">
        <w:rPr>
          <w:rFonts w:ascii="Arial" w:eastAsia="Times New Roman" w:hAnsi="Arial" w:cs="Arial"/>
          <w:i/>
          <w:iCs/>
          <w:kern w:val="0"/>
          <w:sz w:val="20"/>
          <w:szCs w:val="20"/>
          <w:lang w:val="en-US" w:eastAsia="it-IT"/>
          <w14:ligatures w14:val="none"/>
        </w:rPr>
        <w:t>I. typographus</w:t>
      </w:r>
      <w:r w:rsidRPr="00722350">
        <w:rPr>
          <w:rFonts w:ascii="Arial" w:eastAsia="Times New Roman" w:hAnsi="Arial" w:cs="Arial"/>
          <w:kern w:val="0"/>
          <w:sz w:val="20"/>
          <w:szCs w:val="20"/>
          <w:lang w:val="en-US" w:eastAsia="it-IT"/>
          <w14:ligatures w14:val="none"/>
        </w:rPr>
        <w:t xml:space="preserve"> contrast with diagnostic nucleotide substitutions within the probe- and/or primer-binding sites of non-target </w:t>
      </w:r>
      <w:r w:rsidRPr="00722350">
        <w:rPr>
          <w:rFonts w:ascii="Arial" w:eastAsia="Times New Roman" w:hAnsi="Arial" w:cs="Arial"/>
          <w:i/>
          <w:iCs/>
          <w:kern w:val="0"/>
          <w:sz w:val="20"/>
          <w:szCs w:val="20"/>
          <w:lang w:val="en-US" w:eastAsia="it-IT"/>
          <w14:ligatures w14:val="none"/>
        </w:rPr>
        <w:t>Ips</w:t>
      </w:r>
      <w:r w:rsidRPr="00722350">
        <w:rPr>
          <w:rFonts w:ascii="Arial" w:eastAsia="Times New Roman" w:hAnsi="Arial" w:cs="Arial"/>
          <w:kern w:val="0"/>
          <w:sz w:val="20"/>
          <w:szCs w:val="20"/>
          <w:lang w:val="en-US" w:eastAsia="it-IT"/>
          <w14:ligatures w14:val="none"/>
        </w:rPr>
        <w:t xml:space="preserve"> spp., supporting assay exclusivity.</w:t>
      </w:r>
    </w:p>
    <w:p w14:paraId="06B96C64" w14:textId="77777777" w:rsidR="005C7D8D" w:rsidRDefault="005C7D8D">
      <w:pPr>
        <w:rPr>
          <w:rFonts w:ascii="Arial" w:eastAsia="Times New Roman" w:hAnsi="Arial" w:cs="Arial"/>
          <w:kern w:val="0"/>
          <w:sz w:val="20"/>
          <w:szCs w:val="20"/>
          <w:lang w:val="en-US" w:eastAsia="it-IT"/>
          <w14:ligatures w14:val="none"/>
        </w:rPr>
      </w:pPr>
      <w:r>
        <w:rPr>
          <w:rFonts w:ascii="Arial" w:eastAsia="Times New Roman" w:hAnsi="Arial" w:cs="Arial"/>
          <w:kern w:val="0"/>
          <w:sz w:val="20"/>
          <w:szCs w:val="20"/>
          <w:lang w:val="en-US" w:eastAsia="it-IT"/>
          <w14:ligatures w14:val="none"/>
        </w:rPr>
        <w:br w:type="page"/>
      </w:r>
    </w:p>
    <w:p w14:paraId="6FD62F85" w14:textId="6A1B23F2" w:rsidR="00722350" w:rsidRDefault="005C7D8D" w:rsidP="00E736CF">
      <w:pPr>
        <w:spacing w:line="360" w:lineRule="auto"/>
        <w:outlineLvl w:val="2"/>
        <w:rPr>
          <w:rFonts w:ascii="Arial" w:eastAsia="Times New Roman" w:hAnsi="Arial" w:cs="Arial"/>
          <w:kern w:val="0"/>
          <w:sz w:val="20"/>
          <w:szCs w:val="20"/>
          <w:lang w:val="en-US" w:eastAsia="it-IT"/>
          <w14:ligatures w14:val="none"/>
        </w:rPr>
      </w:pPr>
      <w:r>
        <w:rPr>
          <w:rFonts w:ascii="Arial" w:eastAsia="Times New Roman" w:hAnsi="Arial" w:cs="Arial"/>
          <w:noProof/>
          <w:kern w:val="0"/>
          <w:sz w:val="20"/>
          <w:szCs w:val="20"/>
          <w:lang w:val="en-US" w:eastAsia="it-IT"/>
        </w:rPr>
        <w:lastRenderedPageBreak/>
        <w:drawing>
          <wp:inline distT="0" distB="0" distL="0" distR="0" wp14:anchorId="2E3EDE0C" wp14:editId="5024601A">
            <wp:extent cx="8832273" cy="3780932"/>
            <wp:effectExtent l="0" t="0" r="0" b="3810"/>
            <wp:docPr id="1454724346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724346" name="Immagine 145472434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2814" cy="378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DD37E" w14:textId="49B221E7" w:rsidR="005C7D8D" w:rsidRDefault="00722350" w:rsidP="00E736CF">
      <w:pPr>
        <w:spacing w:line="360" w:lineRule="auto"/>
        <w:outlineLvl w:val="2"/>
        <w:rPr>
          <w:rFonts w:ascii="Arial" w:hAnsi="Arial" w:cs="Arial"/>
          <w:sz w:val="20"/>
          <w:szCs w:val="20"/>
          <w:lang w:val="en-US"/>
        </w:rPr>
      </w:pPr>
      <w:r w:rsidRPr="00722350">
        <w:rPr>
          <w:rFonts w:ascii="Arial" w:hAnsi="Arial" w:cs="Arial"/>
          <w:b/>
          <w:bCs/>
          <w:sz w:val="20"/>
          <w:szCs w:val="20"/>
          <w:lang w:val="en-US"/>
        </w:rPr>
        <w:t>Figure S2.</w:t>
      </w:r>
      <w:r w:rsidRPr="00722350">
        <w:rPr>
          <w:rFonts w:ascii="Arial" w:hAnsi="Arial" w:cs="Arial"/>
          <w:sz w:val="20"/>
          <w:szCs w:val="20"/>
          <w:lang w:val="en-US"/>
        </w:rPr>
        <w:t xml:space="preserve"> COI sequence alignment between </w:t>
      </w:r>
      <w:r w:rsidRPr="00722350">
        <w:rPr>
          <w:rStyle w:val="Emphasis"/>
          <w:rFonts w:ascii="Arial" w:hAnsi="Arial" w:cs="Arial"/>
          <w:sz w:val="20"/>
          <w:szCs w:val="20"/>
          <w:lang w:val="en-US"/>
        </w:rPr>
        <w:t>Ips typographus</w:t>
      </w:r>
      <w:r w:rsidRPr="00722350">
        <w:rPr>
          <w:rFonts w:ascii="Arial" w:hAnsi="Arial" w:cs="Arial"/>
          <w:sz w:val="20"/>
          <w:szCs w:val="20"/>
          <w:lang w:val="en-US"/>
        </w:rPr>
        <w:t xml:space="preserve"> and representative species of the genus </w:t>
      </w:r>
      <w:r w:rsidRPr="00722350">
        <w:rPr>
          <w:rStyle w:val="Emphasis"/>
          <w:rFonts w:ascii="Arial" w:hAnsi="Arial" w:cs="Arial"/>
          <w:sz w:val="20"/>
          <w:szCs w:val="20"/>
          <w:lang w:val="en-US"/>
        </w:rPr>
        <w:t>Orthotomicus</w:t>
      </w:r>
      <w:r w:rsidRPr="00722350">
        <w:rPr>
          <w:rFonts w:ascii="Arial" w:hAnsi="Arial" w:cs="Arial"/>
          <w:sz w:val="20"/>
          <w:szCs w:val="20"/>
          <w:lang w:val="en-US"/>
        </w:rPr>
        <w:t xml:space="preserve">. The forward primer, probe, and reverse primer binding sites are highlighted. Multiple substitutions and indels within the probe and amplicon region of </w:t>
      </w:r>
      <w:r w:rsidRPr="00722350">
        <w:rPr>
          <w:rStyle w:val="Emphasis"/>
          <w:rFonts w:ascii="Arial" w:hAnsi="Arial" w:cs="Arial"/>
          <w:sz w:val="20"/>
          <w:szCs w:val="20"/>
          <w:lang w:val="en-US"/>
        </w:rPr>
        <w:t>Orthotomicus</w:t>
      </w:r>
      <w:r w:rsidRPr="00722350">
        <w:rPr>
          <w:rFonts w:ascii="Arial" w:hAnsi="Arial" w:cs="Arial"/>
          <w:sz w:val="20"/>
          <w:szCs w:val="20"/>
          <w:lang w:val="en-US"/>
        </w:rPr>
        <w:t xml:space="preserve"> sequences explain the absence of cross-amplification observed during exclusivity testing.</w:t>
      </w:r>
    </w:p>
    <w:p w14:paraId="51CB89BC" w14:textId="77777777" w:rsidR="005C7D8D" w:rsidRDefault="005C7D8D">
      <w:pPr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br w:type="page"/>
      </w:r>
    </w:p>
    <w:p w14:paraId="21D6F756" w14:textId="5CF2392A" w:rsidR="00722350" w:rsidRDefault="005C7D8D" w:rsidP="00E736CF">
      <w:pPr>
        <w:spacing w:line="360" w:lineRule="auto"/>
        <w:outlineLvl w:val="2"/>
        <w:rPr>
          <w:rFonts w:ascii="Arial" w:eastAsia="Times New Roman" w:hAnsi="Arial" w:cs="Arial"/>
          <w:b/>
          <w:bCs/>
          <w:kern w:val="0"/>
          <w:lang w:val="en-US" w:eastAsia="it-IT"/>
          <w14:ligatures w14:val="none"/>
        </w:rPr>
      </w:pPr>
      <w:r>
        <w:rPr>
          <w:rFonts w:ascii="Arial" w:eastAsia="Times New Roman" w:hAnsi="Arial" w:cs="Arial"/>
          <w:b/>
          <w:bCs/>
          <w:noProof/>
          <w:kern w:val="0"/>
          <w:lang w:val="en-US" w:eastAsia="it-IT"/>
        </w:rPr>
        <w:lastRenderedPageBreak/>
        <w:drawing>
          <wp:inline distT="0" distB="0" distL="0" distR="0" wp14:anchorId="5387E855" wp14:editId="72AB7DDF">
            <wp:extent cx="8887691" cy="2554270"/>
            <wp:effectExtent l="0" t="0" r="2540" b="0"/>
            <wp:docPr id="667538862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538862" name="Immagine 66753886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25146" cy="2565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D06AE" w14:textId="0C0E1271" w:rsidR="005C7D8D" w:rsidRDefault="00722350" w:rsidP="00E736CF">
      <w:pPr>
        <w:spacing w:line="360" w:lineRule="auto"/>
        <w:outlineLvl w:val="2"/>
        <w:rPr>
          <w:rFonts w:ascii="Arial" w:hAnsi="Arial" w:cs="Arial"/>
          <w:sz w:val="20"/>
          <w:szCs w:val="20"/>
          <w:lang w:val="en-US"/>
        </w:rPr>
      </w:pPr>
      <w:r w:rsidRPr="00722350">
        <w:rPr>
          <w:rFonts w:ascii="Arial" w:hAnsi="Arial" w:cs="Arial"/>
          <w:b/>
          <w:bCs/>
          <w:sz w:val="20"/>
          <w:szCs w:val="20"/>
          <w:lang w:val="en-US"/>
        </w:rPr>
        <w:t>Figure S3.</w:t>
      </w:r>
      <w:r w:rsidRPr="00722350">
        <w:rPr>
          <w:rFonts w:ascii="Arial" w:hAnsi="Arial" w:cs="Arial"/>
          <w:sz w:val="20"/>
          <w:szCs w:val="20"/>
          <w:lang w:val="en-US"/>
        </w:rPr>
        <w:t xml:space="preserve"> COI sequence alignment of </w:t>
      </w:r>
      <w:r w:rsidRPr="00722350">
        <w:rPr>
          <w:rStyle w:val="Emphasis"/>
          <w:rFonts w:ascii="Arial" w:hAnsi="Arial" w:cs="Arial"/>
          <w:sz w:val="20"/>
          <w:szCs w:val="20"/>
          <w:lang w:val="en-US"/>
        </w:rPr>
        <w:t>Ips typographus</w:t>
      </w:r>
      <w:r w:rsidRPr="00722350">
        <w:rPr>
          <w:rFonts w:ascii="Arial" w:hAnsi="Arial" w:cs="Arial"/>
          <w:sz w:val="20"/>
          <w:szCs w:val="20"/>
          <w:lang w:val="en-US"/>
        </w:rPr>
        <w:t xml:space="preserve"> and selected </w:t>
      </w:r>
      <w:r w:rsidRPr="00722350">
        <w:rPr>
          <w:rStyle w:val="Emphasis"/>
          <w:rFonts w:ascii="Arial" w:hAnsi="Arial" w:cs="Arial"/>
          <w:sz w:val="20"/>
          <w:szCs w:val="20"/>
          <w:lang w:val="en-US"/>
        </w:rPr>
        <w:t>Pityogenes</w:t>
      </w:r>
      <w:r w:rsidRPr="00722350">
        <w:rPr>
          <w:rFonts w:ascii="Arial" w:hAnsi="Arial" w:cs="Arial"/>
          <w:sz w:val="20"/>
          <w:szCs w:val="20"/>
          <w:lang w:val="en-US"/>
        </w:rPr>
        <w:t xml:space="preserve"> species, including the target region of the qPCR assay. Non-target sequences exhibit substantial divergence at the primer- and probe-binding sites.</w:t>
      </w:r>
    </w:p>
    <w:p w14:paraId="12E62CE7" w14:textId="77777777" w:rsidR="005C7D8D" w:rsidRDefault="005C7D8D">
      <w:pPr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br w:type="page"/>
      </w:r>
    </w:p>
    <w:p w14:paraId="362D89D9" w14:textId="77777777" w:rsidR="00722350" w:rsidRDefault="00722350" w:rsidP="00E736CF">
      <w:pPr>
        <w:spacing w:line="360" w:lineRule="auto"/>
        <w:outlineLvl w:val="2"/>
        <w:rPr>
          <w:rFonts w:ascii="Arial" w:hAnsi="Arial" w:cs="Arial"/>
          <w:sz w:val="20"/>
          <w:szCs w:val="20"/>
          <w:lang w:val="en-US"/>
        </w:rPr>
      </w:pPr>
    </w:p>
    <w:p w14:paraId="293D713F" w14:textId="77777777" w:rsidR="00722350" w:rsidRPr="00722350" w:rsidRDefault="00722350" w:rsidP="00E736CF">
      <w:pPr>
        <w:spacing w:line="360" w:lineRule="auto"/>
        <w:outlineLvl w:val="2"/>
        <w:rPr>
          <w:rFonts w:ascii="Arial" w:eastAsia="Times New Roman" w:hAnsi="Arial" w:cs="Arial"/>
          <w:b/>
          <w:bCs/>
          <w:kern w:val="0"/>
          <w:sz w:val="20"/>
          <w:szCs w:val="20"/>
          <w:lang w:val="en-US" w:eastAsia="it-IT"/>
          <w14:ligatures w14:val="none"/>
        </w:rPr>
      </w:pPr>
    </w:p>
    <w:p w14:paraId="5C32A097" w14:textId="683C3C91" w:rsidR="00E736CF" w:rsidRDefault="005C7D8D" w:rsidP="00E736CF">
      <w:pPr>
        <w:spacing w:line="360" w:lineRule="auto"/>
        <w:outlineLvl w:val="2"/>
        <w:rPr>
          <w:rFonts w:ascii="Arial" w:eastAsia="Times New Roman" w:hAnsi="Arial" w:cs="Arial"/>
          <w:b/>
          <w:bCs/>
          <w:kern w:val="0"/>
          <w:lang w:val="en-US" w:eastAsia="it-IT"/>
          <w14:ligatures w14:val="none"/>
        </w:rPr>
      </w:pPr>
      <w:r>
        <w:rPr>
          <w:rFonts w:ascii="Arial" w:eastAsia="Times New Roman" w:hAnsi="Arial" w:cs="Arial"/>
          <w:b/>
          <w:bCs/>
          <w:noProof/>
          <w:kern w:val="0"/>
          <w:lang w:val="en-US" w:eastAsia="it-IT"/>
        </w:rPr>
        <w:drawing>
          <wp:inline distT="0" distB="0" distL="0" distR="0" wp14:anchorId="69EC695B" wp14:editId="5132F2ED">
            <wp:extent cx="8804564" cy="2889046"/>
            <wp:effectExtent l="0" t="0" r="0" b="0"/>
            <wp:docPr id="1579963420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963420" name="Immagine 1579963420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17890" cy="2893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27D58" w14:textId="1C5454F0" w:rsidR="005D06A5" w:rsidRPr="00E736CF" w:rsidRDefault="006B4355" w:rsidP="00BF00C3">
      <w:pPr>
        <w:spacing w:line="360" w:lineRule="auto"/>
        <w:outlineLvl w:val="2"/>
        <w:rPr>
          <w:lang w:val="en-US"/>
        </w:rPr>
      </w:pPr>
      <w:r w:rsidRPr="006B4355">
        <w:rPr>
          <w:rFonts w:ascii="Arial" w:eastAsia="Times New Roman" w:hAnsi="Arial" w:cs="Arial"/>
          <w:b/>
          <w:bCs/>
          <w:kern w:val="0"/>
          <w:sz w:val="20"/>
          <w:szCs w:val="20"/>
          <w:lang w:val="en-US" w:eastAsia="it-IT"/>
          <w14:ligatures w14:val="none"/>
        </w:rPr>
        <w:t xml:space="preserve">Figure S4. </w:t>
      </w:r>
      <w:r w:rsidRPr="006B4355">
        <w:rPr>
          <w:rFonts w:ascii="Arial" w:eastAsia="Times New Roman" w:hAnsi="Arial" w:cs="Arial"/>
          <w:kern w:val="0"/>
          <w:sz w:val="20"/>
          <w:szCs w:val="20"/>
          <w:lang w:val="en-US" w:eastAsia="it-IT"/>
          <w14:ligatures w14:val="none"/>
        </w:rPr>
        <w:t xml:space="preserve">Alignment of COI sequences from </w:t>
      </w:r>
      <w:r w:rsidRPr="006B4355">
        <w:rPr>
          <w:rFonts w:ascii="Arial" w:eastAsia="Times New Roman" w:hAnsi="Arial" w:cs="Arial"/>
          <w:i/>
          <w:iCs/>
          <w:kern w:val="0"/>
          <w:sz w:val="20"/>
          <w:szCs w:val="20"/>
          <w:lang w:val="en-US" w:eastAsia="it-IT"/>
          <w14:ligatures w14:val="none"/>
        </w:rPr>
        <w:t>Ips typographus</w:t>
      </w:r>
      <w:r w:rsidRPr="006B4355">
        <w:rPr>
          <w:rFonts w:ascii="Arial" w:eastAsia="Times New Roman" w:hAnsi="Arial" w:cs="Arial"/>
          <w:kern w:val="0"/>
          <w:sz w:val="20"/>
          <w:szCs w:val="20"/>
          <w:lang w:val="en-US" w:eastAsia="it-IT"/>
          <w14:ligatures w14:val="none"/>
        </w:rPr>
        <w:t xml:space="preserve"> and </w:t>
      </w:r>
      <w:r w:rsidRPr="006B4355">
        <w:rPr>
          <w:rFonts w:ascii="Arial" w:eastAsia="Times New Roman" w:hAnsi="Arial" w:cs="Arial"/>
          <w:i/>
          <w:iCs/>
          <w:kern w:val="0"/>
          <w:sz w:val="20"/>
          <w:szCs w:val="20"/>
          <w:lang w:val="en-US" w:eastAsia="it-IT"/>
          <w14:ligatures w14:val="none"/>
        </w:rPr>
        <w:t>Pityokteines</w:t>
      </w:r>
      <w:r w:rsidRPr="006B4355">
        <w:rPr>
          <w:rFonts w:ascii="Arial" w:eastAsia="Times New Roman" w:hAnsi="Arial" w:cs="Arial"/>
          <w:kern w:val="0"/>
          <w:sz w:val="20"/>
          <w:szCs w:val="20"/>
          <w:lang w:val="en-US" w:eastAsia="it-IT"/>
          <w14:ligatures w14:val="none"/>
        </w:rPr>
        <w:t xml:space="preserve"> species. The location of the qPCR primers and TaqMan probe is shown. The presence of multiple mismatches and indels in non-target taxa supports the analytical specificity of the assay toward </w:t>
      </w:r>
      <w:r w:rsidRPr="006B4355">
        <w:rPr>
          <w:rFonts w:ascii="Arial" w:eastAsia="Times New Roman" w:hAnsi="Arial" w:cs="Arial"/>
          <w:i/>
          <w:iCs/>
          <w:kern w:val="0"/>
          <w:sz w:val="20"/>
          <w:szCs w:val="20"/>
          <w:lang w:val="en-US" w:eastAsia="it-IT"/>
          <w14:ligatures w14:val="none"/>
        </w:rPr>
        <w:t>I. typographus</w:t>
      </w:r>
      <w:r w:rsidRPr="006B4355">
        <w:rPr>
          <w:rFonts w:ascii="Arial" w:eastAsia="Times New Roman" w:hAnsi="Arial" w:cs="Arial"/>
          <w:kern w:val="0"/>
          <w:sz w:val="20"/>
          <w:szCs w:val="20"/>
          <w:lang w:val="en-US" w:eastAsia="it-IT"/>
          <w14:ligatures w14:val="none"/>
        </w:rPr>
        <w:t>.</w:t>
      </w:r>
      <w:r w:rsidR="00BF00C3" w:rsidRPr="00E736CF">
        <w:rPr>
          <w:lang w:val="en-US"/>
        </w:rPr>
        <w:t xml:space="preserve"> </w:t>
      </w:r>
    </w:p>
    <w:sectPr w:rsidR="005D06A5" w:rsidRPr="00E736CF" w:rsidSect="005C7D8D">
      <w:pgSz w:w="16838" w:h="11906" w:orient="landscape"/>
      <w:pgMar w:top="1134" w:right="1134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  <w:font w:name="Liberation Serif">
    <w:charset w:val="00"/>
    <w:family w:val="roman"/>
    <w:pitch w:val="variable"/>
  </w:font>
  <w:font w:name="新宋体">
    <w:altName w:val="NSimSun"/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36CF"/>
    <w:rsid w:val="00165671"/>
    <w:rsid w:val="001841F8"/>
    <w:rsid w:val="00214A31"/>
    <w:rsid w:val="00464BD8"/>
    <w:rsid w:val="00490D56"/>
    <w:rsid w:val="004A54F7"/>
    <w:rsid w:val="00536EBD"/>
    <w:rsid w:val="005800A9"/>
    <w:rsid w:val="005C7D8D"/>
    <w:rsid w:val="005D06A5"/>
    <w:rsid w:val="006B4355"/>
    <w:rsid w:val="006C43B7"/>
    <w:rsid w:val="0072198E"/>
    <w:rsid w:val="00722350"/>
    <w:rsid w:val="00877585"/>
    <w:rsid w:val="00932AD8"/>
    <w:rsid w:val="009F7DC2"/>
    <w:rsid w:val="00A11FA5"/>
    <w:rsid w:val="00BF00C3"/>
    <w:rsid w:val="00CA2C0A"/>
    <w:rsid w:val="00E35AAE"/>
    <w:rsid w:val="00E736CF"/>
    <w:rsid w:val="00E73AE2"/>
    <w:rsid w:val="00FD3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5E2386"/>
  <w15:chartTrackingRefBased/>
  <w15:docId w15:val="{1D1D0103-43F6-9047-A1DC-3B0B110DD1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2235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link w:val="Heading3Char"/>
    <w:uiPriority w:val="9"/>
    <w:qFormat/>
    <w:rsid w:val="00E736CF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kern w:val="0"/>
      <w:sz w:val="27"/>
      <w:szCs w:val="27"/>
      <w:lang w:eastAsia="it-IT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E736CF"/>
    <w:rPr>
      <w:rFonts w:ascii="Times New Roman" w:eastAsia="Times New Roman" w:hAnsi="Times New Roman" w:cs="Times New Roman"/>
      <w:b/>
      <w:bCs/>
      <w:kern w:val="0"/>
      <w:sz w:val="27"/>
      <w:szCs w:val="27"/>
      <w:lang w:eastAsia="it-IT"/>
      <w14:ligatures w14:val="none"/>
    </w:rPr>
  </w:style>
  <w:style w:type="character" w:styleId="Strong">
    <w:name w:val="Strong"/>
    <w:basedOn w:val="DefaultParagraphFont"/>
    <w:uiPriority w:val="22"/>
    <w:qFormat/>
    <w:rsid w:val="00E736CF"/>
    <w:rPr>
      <w:b/>
      <w:bCs/>
    </w:rPr>
  </w:style>
  <w:style w:type="paragraph" w:styleId="NormalWeb">
    <w:name w:val="Normal (Web)"/>
    <w:basedOn w:val="Normal"/>
    <w:uiPriority w:val="99"/>
    <w:unhideWhenUsed/>
    <w:rsid w:val="00E736CF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it-IT"/>
      <w14:ligatures w14:val="none"/>
    </w:rPr>
  </w:style>
  <w:style w:type="character" w:styleId="Emphasis">
    <w:name w:val="Emphasis"/>
    <w:basedOn w:val="DefaultParagraphFont"/>
    <w:uiPriority w:val="20"/>
    <w:qFormat/>
    <w:rsid w:val="00E736CF"/>
    <w:rPr>
      <w:i/>
      <w:iCs/>
    </w:rPr>
  </w:style>
  <w:style w:type="table" w:styleId="TableGrid">
    <w:name w:val="Table Grid"/>
    <w:basedOn w:val="TableNormal"/>
    <w:uiPriority w:val="39"/>
    <w:rsid w:val="00E736CF"/>
    <w:pPr>
      <w:suppressAutoHyphens/>
    </w:pPr>
    <w:rPr>
      <w:rFonts w:ascii="Liberation Serif" w:eastAsia="新宋体" w:hAnsi="Liberation Serif" w:cs="Arial"/>
      <w:lang w:val="en-GB" w:eastAsia="zh-CN" w:bidi="hi-IN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E736C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736C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736CF"/>
    <w:rPr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2235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941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28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9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56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222</Words>
  <Characters>1270</Characters>
  <Application>Microsoft Office Word</Application>
  <DocSecurity>0</DocSecurity>
  <Lines>10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Elia Russo</dc:creator>
  <cp:keywords/>
  <dc:description/>
  <cp:lastModifiedBy>MDPI</cp:lastModifiedBy>
  <cp:revision>4</cp:revision>
  <dcterms:created xsi:type="dcterms:W3CDTF">2026-02-27T14:15:00Z</dcterms:created>
  <dcterms:modified xsi:type="dcterms:W3CDTF">2026-04-01T06:31:00Z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ad0b24d-6422-44b0-b3de-abb3a9e8c81a_Enabled">
    <vt:lpwstr>true</vt:lpwstr>
  </property>
  <property fmtid="{D5CDD505-2E9C-101B-9397-08002B2CF9AE}" pid="3" name="MSIP_Label_2ad0b24d-6422-44b0-b3de-abb3a9e8c81a_SetDate">
    <vt:lpwstr>2026-02-09T08:20:51Z</vt:lpwstr>
  </property>
  <property fmtid="{D5CDD505-2E9C-101B-9397-08002B2CF9AE}" pid="4" name="MSIP_Label_2ad0b24d-6422-44b0-b3de-abb3a9e8c81a_Method">
    <vt:lpwstr>Standard</vt:lpwstr>
  </property>
  <property fmtid="{D5CDD505-2E9C-101B-9397-08002B2CF9AE}" pid="5" name="MSIP_Label_2ad0b24d-6422-44b0-b3de-abb3a9e8c81a_Name">
    <vt:lpwstr>defa4170-0d19-0005-0004-bc88714345d2</vt:lpwstr>
  </property>
  <property fmtid="{D5CDD505-2E9C-101B-9397-08002B2CF9AE}" pid="6" name="MSIP_Label_2ad0b24d-6422-44b0-b3de-abb3a9e8c81a_SiteId">
    <vt:lpwstr>2fcfe26a-bb62-46b0-b1e3-28f9da0c45fd</vt:lpwstr>
  </property>
  <property fmtid="{D5CDD505-2E9C-101B-9397-08002B2CF9AE}" pid="7" name="MSIP_Label_2ad0b24d-6422-44b0-b3de-abb3a9e8c81a_ActionId">
    <vt:lpwstr>09bd1ecd-c78b-4a6f-8ca4-730af0cf7c08</vt:lpwstr>
  </property>
  <property fmtid="{D5CDD505-2E9C-101B-9397-08002B2CF9AE}" pid="8" name="MSIP_Label_2ad0b24d-6422-44b0-b3de-abb3a9e8c81a_ContentBits">
    <vt:lpwstr>0</vt:lpwstr>
  </property>
  <property fmtid="{D5CDD505-2E9C-101B-9397-08002B2CF9AE}" pid="9" name="MSIP_Label_2ad0b24d-6422-44b0-b3de-abb3a9e8c81a_Tag">
    <vt:lpwstr>10, 3, 0, 1</vt:lpwstr>
  </property>
</Properties>
</file>